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5C" w:rsidRPr="0018515C" w:rsidRDefault="0018515C" w:rsidP="0018515C">
      <w:pPr>
        <w:shd w:val="clear" w:color="auto" w:fill="FFFFFF"/>
        <w:spacing w:after="225" w:line="336" w:lineRule="atLeast"/>
        <w:jc w:val="center"/>
        <w:rPr>
          <w:rFonts w:ascii="Times New Roman" w:eastAsia="Times New Roman" w:hAnsi="Times New Roman" w:cs="Times New Roman"/>
          <w:b/>
          <w:bCs/>
          <w:color w:val="222222"/>
          <w:sz w:val="20"/>
          <w:szCs w:val="20"/>
          <w:u w:val="single"/>
        </w:rPr>
      </w:pPr>
      <w:bookmarkStart w:id="0" w:name="_GoBack"/>
      <w:bookmarkEnd w:id="0"/>
      <w:r w:rsidRPr="0018515C">
        <w:rPr>
          <w:rFonts w:ascii="Times New Roman" w:eastAsia="Times New Roman" w:hAnsi="Times New Roman" w:cs="Times New Roman"/>
          <w:b/>
          <w:bCs/>
          <w:color w:val="222222"/>
          <w:sz w:val="20"/>
          <w:szCs w:val="20"/>
          <w:u w:val="single"/>
        </w:rPr>
        <w:t>MLA (Modern Language Association) Works Cited Referencing</w:t>
      </w:r>
    </w:p>
    <w:p w:rsidR="0018515C" w:rsidRPr="0018515C" w:rsidRDefault="0018515C" w:rsidP="0018515C">
      <w:pPr>
        <w:shd w:val="clear" w:color="auto" w:fill="FFFFFF"/>
        <w:spacing w:after="225" w:line="336" w:lineRule="atLeast"/>
        <w:rPr>
          <w:rFonts w:ascii="Times New Roman" w:eastAsia="Times New Roman" w:hAnsi="Times New Roman" w:cs="Times New Roman"/>
          <w:bCs/>
          <w:color w:val="222222"/>
          <w:sz w:val="20"/>
          <w:szCs w:val="20"/>
        </w:rPr>
      </w:pPr>
      <w:r w:rsidRPr="0018515C">
        <w:rPr>
          <w:rFonts w:ascii="Times New Roman" w:eastAsia="Times New Roman" w:hAnsi="Times New Roman" w:cs="Times New Roman"/>
          <w:bCs/>
          <w:color w:val="222222"/>
          <w:sz w:val="20"/>
          <w:szCs w:val="20"/>
        </w:rPr>
        <w:t>Source:  Cornell University</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Times New Roman" w:eastAsia="Times New Roman" w:hAnsi="Times New Roman" w:cs="Times New Roman"/>
          <w:b/>
          <w:bCs/>
          <w:color w:val="222222"/>
          <w:sz w:val="20"/>
          <w:szCs w:val="20"/>
        </w:rPr>
        <w:t>One author:</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Courier New" w:eastAsia="Times New Roman" w:hAnsi="Courier New" w:cs="Courier New"/>
          <w:color w:val="222222"/>
          <w:sz w:val="20"/>
          <w:szCs w:val="20"/>
        </w:rPr>
        <w:t>Nabokov, Vladimir. </w:t>
      </w:r>
      <w:r w:rsidRPr="0018515C">
        <w:rPr>
          <w:rFonts w:ascii="Courier New" w:eastAsia="Times New Roman" w:hAnsi="Courier New" w:cs="Courier New"/>
          <w:i/>
          <w:iCs/>
          <w:color w:val="222222"/>
          <w:sz w:val="20"/>
          <w:szCs w:val="20"/>
        </w:rPr>
        <w:t>Lolita</w:t>
      </w:r>
      <w:r w:rsidRPr="0018515C">
        <w:rPr>
          <w:rFonts w:ascii="Courier New" w:eastAsia="Times New Roman" w:hAnsi="Courier New" w:cs="Courier New"/>
          <w:color w:val="222222"/>
          <w:sz w:val="20"/>
          <w:szCs w:val="20"/>
        </w:rPr>
        <w:t>. New York: Putnam, 1955. Print.</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Times New Roman" w:eastAsia="Times New Roman" w:hAnsi="Times New Roman" w:cs="Times New Roman"/>
          <w:b/>
          <w:bCs/>
          <w:color w:val="222222"/>
          <w:sz w:val="20"/>
          <w:szCs w:val="20"/>
        </w:rPr>
        <w:t>Two authors:</w:t>
      </w:r>
    </w:p>
    <w:p w:rsidR="0018515C" w:rsidRPr="0018515C" w:rsidRDefault="0018515C" w:rsidP="0018515C">
      <w:pPr>
        <w:shd w:val="clear" w:color="auto" w:fill="FFFFFF"/>
        <w:spacing w:after="225" w:line="336" w:lineRule="atLeast"/>
        <w:ind w:left="720" w:hanging="720"/>
        <w:rPr>
          <w:rFonts w:ascii="Verdana" w:eastAsia="Times New Roman" w:hAnsi="Verdana" w:cs="Times New Roman"/>
          <w:color w:val="222222"/>
          <w:sz w:val="20"/>
          <w:szCs w:val="20"/>
        </w:rPr>
      </w:pPr>
      <w:r w:rsidRPr="0018515C">
        <w:rPr>
          <w:rFonts w:ascii="Courier New" w:eastAsia="Times New Roman" w:hAnsi="Courier New" w:cs="Courier New"/>
          <w:color w:val="222222"/>
          <w:sz w:val="20"/>
          <w:szCs w:val="20"/>
        </w:rPr>
        <w:t>Cross, Susan, and Christine Hoffman. </w:t>
      </w:r>
      <w:r w:rsidRPr="0018515C">
        <w:rPr>
          <w:rFonts w:ascii="Courier New" w:eastAsia="Times New Roman" w:hAnsi="Courier New" w:cs="Courier New"/>
          <w:i/>
          <w:iCs/>
          <w:color w:val="222222"/>
          <w:sz w:val="20"/>
          <w:szCs w:val="20"/>
        </w:rPr>
        <w:t>Bruce Nauman: Theaters of Experience</w:t>
      </w:r>
      <w:r w:rsidRPr="0018515C">
        <w:rPr>
          <w:rFonts w:ascii="Courier New" w:eastAsia="Times New Roman" w:hAnsi="Courier New" w:cs="Courier New"/>
          <w:color w:val="222222"/>
          <w:sz w:val="20"/>
          <w:szCs w:val="20"/>
        </w:rPr>
        <w:t>. New York: Guggenheim Museum; London: Thames &amp; Hudson, 2004. Print.</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Times New Roman" w:eastAsia="Times New Roman" w:hAnsi="Times New Roman" w:cs="Times New Roman"/>
          <w:b/>
          <w:bCs/>
          <w:color w:val="222222"/>
          <w:sz w:val="20"/>
          <w:szCs w:val="20"/>
        </w:rPr>
        <w:t>Editor (anthology or collection of essays):</w:t>
      </w:r>
    </w:p>
    <w:p w:rsidR="0018515C" w:rsidRPr="0018515C" w:rsidRDefault="0018515C" w:rsidP="0018515C">
      <w:pPr>
        <w:shd w:val="clear" w:color="auto" w:fill="FFFFFF"/>
        <w:spacing w:after="225" w:line="336" w:lineRule="atLeast"/>
        <w:ind w:left="720" w:hanging="720"/>
        <w:rPr>
          <w:rFonts w:ascii="Verdana" w:eastAsia="Times New Roman" w:hAnsi="Verdana" w:cs="Times New Roman"/>
          <w:color w:val="222222"/>
          <w:sz w:val="20"/>
          <w:szCs w:val="20"/>
        </w:rPr>
      </w:pPr>
      <w:r w:rsidRPr="0018515C">
        <w:rPr>
          <w:rFonts w:ascii="Courier New" w:eastAsia="Times New Roman" w:hAnsi="Courier New" w:cs="Courier New"/>
          <w:color w:val="222222"/>
          <w:sz w:val="20"/>
          <w:szCs w:val="20"/>
        </w:rPr>
        <w:t>Hill, Charles A., and Marguerite Helmers, eds. </w:t>
      </w:r>
      <w:r w:rsidRPr="0018515C">
        <w:rPr>
          <w:rFonts w:ascii="Courier New" w:eastAsia="Times New Roman" w:hAnsi="Courier New" w:cs="Courier New"/>
          <w:i/>
          <w:iCs/>
          <w:color w:val="222222"/>
          <w:sz w:val="20"/>
          <w:szCs w:val="20"/>
        </w:rPr>
        <w:t>Defining Visual Rhetorics</w:t>
      </w:r>
      <w:r w:rsidRPr="0018515C">
        <w:rPr>
          <w:rFonts w:ascii="Courier New" w:eastAsia="Times New Roman" w:hAnsi="Courier New" w:cs="Courier New"/>
          <w:color w:val="222222"/>
          <w:sz w:val="20"/>
          <w:szCs w:val="20"/>
        </w:rPr>
        <w:t>. Mahwah, NJ: Lawrence Erlbaum Associates, 2004. Print.</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Times New Roman" w:eastAsia="Times New Roman" w:hAnsi="Times New Roman" w:cs="Times New Roman"/>
          <w:b/>
          <w:bCs/>
          <w:color w:val="222222"/>
          <w:sz w:val="20"/>
          <w:szCs w:val="20"/>
        </w:rPr>
        <w:t>Film or video recording:</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Courier New" w:eastAsia="Times New Roman" w:hAnsi="Courier New" w:cs="Courier New"/>
          <w:i/>
          <w:iCs/>
          <w:color w:val="222222"/>
          <w:sz w:val="20"/>
          <w:szCs w:val="20"/>
        </w:rPr>
        <w:t>Annie Hall</w:t>
      </w:r>
      <w:r w:rsidRPr="0018515C">
        <w:rPr>
          <w:rFonts w:ascii="Courier New" w:eastAsia="Times New Roman" w:hAnsi="Courier New" w:cs="Courier New"/>
          <w:color w:val="222222"/>
          <w:sz w:val="20"/>
          <w:szCs w:val="20"/>
        </w:rPr>
        <w:t>. Dir. Woody Allen. 1977. Videocassette. MGM/UA Home Video, 1991.</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Times New Roman" w:eastAsia="Times New Roman" w:hAnsi="Times New Roman" w:cs="Times New Roman"/>
          <w:b/>
          <w:bCs/>
          <w:color w:val="222222"/>
          <w:sz w:val="20"/>
          <w:szCs w:val="20"/>
        </w:rPr>
        <w:t>Web page:</w:t>
      </w:r>
    </w:p>
    <w:p w:rsidR="0018515C" w:rsidRPr="0018515C" w:rsidRDefault="0018515C" w:rsidP="0018515C">
      <w:pPr>
        <w:shd w:val="clear" w:color="auto" w:fill="FFFFFF"/>
        <w:spacing w:after="225" w:line="336" w:lineRule="atLeast"/>
        <w:ind w:left="720" w:hanging="720"/>
        <w:rPr>
          <w:rFonts w:ascii="Courier New" w:eastAsia="Times New Roman" w:hAnsi="Courier New" w:cs="Courier New"/>
          <w:color w:val="222222"/>
          <w:sz w:val="20"/>
          <w:szCs w:val="20"/>
        </w:rPr>
      </w:pPr>
      <w:r w:rsidRPr="0018515C">
        <w:rPr>
          <w:rFonts w:ascii="Courier New" w:eastAsia="Times New Roman" w:hAnsi="Courier New" w:cs="Courier New"/>
          <w:color w:val="222222"/>
          <w:sz w:val="20"/>
          <w:szCs w:val="20"/>
        </w:rPr>
        <w:t>Cornell University Library. "Introduction to Research." </w:t>
      </w:r>
      <w:r w:rsidRPr="0018515C">
        <w:rPr>
          <w:rFonts w:ascii="Courier New" w:eastAsia="Times New Roman" w:hAnsi="Courier New" w:cs="Courier New"/>
          <w:i/>
          <w:iCs/>
          <w:color w:val="222222"/>
          <w:sz w:val="20"/>
          <w:szCs w:val="20"/>
        </w:rPr>
        <w:t>Cornell University Library</w:t>
      </w:r>
      <w:r w:rsidRPr="0018515C">
        <w:rPr>
          <w:rFonts w:ascii="Courier New" w:eastAsia="Times New Roman" w:hAnsi="Courier New" w:cs="Courier New"/>
          <w:color w:val="222222"/>
          <w:sz w:val="20"/>
          <w:szCs w:val="20"/>
        </w:rPr>
        <w:t>. Cornell University, 2009. Web. 19 June 2009 &lt;http://www.library.cornell.edu/resrch/intro&gt;.</w:t>
      </w:r>
    </w:p>
    <w:p w:rsidR="0018515C" w:rsidRPr="0018515C" w:rsidRDefault="0018515C" w:rsidP="0018515C">
      <w:pPr>
        <w:pStyle w:val="cm2"/>
        <w:shd w:val="clear" w:color="auto" w:fill="FFFFFF"/>
        <w:spacing w:before="0" w:beforeAutospacing="0" w:after="225" w:afterAutospacing="0" w:line="336" w:lineRule="atLeast"/>
        <w:rPr>
          <w:rFonts w:ascii="Verdana" w:hAnsi="Verdana"/>
          <w:color w:val="222222"/>
          <w:sz w:val="20"/>
          <w:szCs w:val="20"/>
        </w:rPr>
      </w:pPr>
      <w:r w:rsidRPr="0018515C">
        <w:rPr>
          <w:b/>
          <w:bCs/>
          <w:color w:val="000000"/>
          <w:sz w:val="20"/>
          <w:szCs w:val="20"/>
        </w:rPr>
        <w:t>Dictionary entry:</w:t>
      </w:r>
    </w:p>
    <w:p w:rsidR="0018515C" w:rsidRPr="0018515C" w:rsidRDefault="0018515C" w:rsidP="0018515C">
      <w:pPr>
        <w:pStyle w:val="cm26"/>
        <w:shd w:val="clear" w:color="auto" w:fill="FFFFFF"/>
        <w:spacing w:before="0" w:beforeAutospacing="0" w:after="225" w:afterAutospacing="0" w:line="336" w:lineRule="atLeast"/>
        <w:rPr>
          <w:rFonts w:ascii="Verdana" w:hAnsi="Verdana"/>
          <w:color w:val="222222"/>
          <w:sz w:val="20"/>
          <w:szCs w:val="20"/>
        </w:rPr>
      </w:pPr>
      <w:r w:rsidRPr="0018515C">
        <w:rPr>
          <w:rFonts w:ascii="Courier New" w:hAnsi="Courier New" w:cs="Courier New"/>
          <w:color w:val="000000"/>
          <w:sz w:val="20"/>
          <w:szCs w:val="20"/>
        </w:rPr>
        <w:t>"Hospitality." Def. 1a.</w:t>
      </w:r>
      <w:r w:rsidRPr="0018515C">
        <w:rPr>
          <w:rStyle w:val="apple-converted-space"/>
          <w:rFonts w:ascii="Courier New" w:hAnsi="Courier New" w:cs="Courier New"/>
          <w:color w:val="000000"/>
          <w:sz w:val="20"/>
          <w:szCs w:val="20"/>
        </w:rPr>
        <w:t> </w:t>
      </w:r>
      <w:r w:rsidRPr="0018515C">
        <w:rPr>
          <w:rFonts w:ascii="Courier New" w:hAnsi="Courier New" w:cs="Courier New"/>
          <w:i/>
          <w:iCs/>
          <w:color w:val="000000"/>
          <w:sz w:val="20"/>
          <w:szCs w:val="20"/>
        </w:rPr>
        <w:t>Webster’s Third New World Dictionary</w:t>
      </w:r>
      <w:r w:rsidRPr="0018515C">
        <w:rPr>
          <w:rFonts w:ascii="Courier New" w:hAnsi="Courier New" w:cs="Courier New"/>
          <w:color w:val="000000"/>
          <w:sz w:val="20"/>
          <w:szCs w:val="20"/>
        </w:rPr>
        <w:t>. 1993. Print.</w:t>
      </w:r>
    </w:p>
    <w:p w:rsidR="0018515C" w:rsidRPr="0018515C" w:rsidRDefault="0018515C" w:rsidP="0018515C">
      <w:pPr>
        <w:pStyle w:val="cm2"/>
        <w:shd w:val="clear" w:color="auto" w:fill="FFFFFF"/>
        <w:spacing w:before="0" w:beforeAutospacing="0" w:after="225" w:afterAutospacing="0" w:line="336" w:lineRule="atLeast"/>
        <w:rPr>
          <w:rFonts w:ascii="Verdana" w:hAnsi="Verdana"/>
          <w:color w:val="222222"/>
          <w:sz w:val="20"/>
          <w:szCs w:val="20"/>
        </w:rPr>
      </w:pPr>
      <w:r w:rsidRPr="0018515C">
        <w:rPr>
          <w:b/>
          <w:bCs/>
          <w:color w:val="000000"/>
          <w:sz w:val="20"/>
          <w:szCs w:val="20"/>
        </w:rPr>
        <w:t>Encyclopedia entry:</w:t>
      </w:r>
    </w:p>
    <w:p w:rsidR="0018515C" w:rsidRPr="0018515C" w:rsidRDefault="0018515C" w:rsidP="0018515C">
      <w:pPr>
        <w:pStyle w:val="NormalWeb"/>
        <w:shd w:val="clear" w:color="auto" w:fill="FFFFFF"/>
        <w:spacing w:before="0" w:beforeAutospacing="0" w:after="225" w:afterAutospacing="0" w:line="336" w:lineRule="atLeast"/>
        <w:ind w:left="720" w:hanging="720"/>
        <w:rPr>
          <w:rFonts w:ascii="Verdana" w:hAnsi="Verdana"/>
          <w:color w:val="222222"/>
          <w:sz w:val="20"/>
          <w:szCs w:val="20"/>
        </w:rPr>
      </w:pPr>
      <w:r w:rsidRPr="0018515C">
        <w:rPr>
          <w:rFonts w:ascii="Courier New" w:hAnsi="Courier New" w:cs="Courier New"/>
          <w:color w:val="000000"/>
          <w:sz w:val="20"/>
          <w:szCs w:val="20"/>
        </w:rPr>
        <w:t>Mercuri, Becky. "Cookies."</w:t>
      </w:r>
      <w:r w:rsidRPr="0018515C">
        <w:rPr>
          <w:rStyle w:val="apple-converted-space"/>
          <w:rFonts w:ascii="Courier New" w:hAnsi="Courier New" w:cs="Courier New"/>
          <w:color w:val="000000"/>
          <w:sz w:val="20"/>
          <w:szCs w:val="20"/>
        </w:rPr>
        <w:t> </w:t>
      </w:r>
      <w:r w:rsidRPr="0018515C">
        <w:rPr>
          <w:rFonts w:ascii="Courier New" w:hAnsi="Courier New" w:cs="Courier New"/>
          <w:i/>
          <w:iCs/>
          <w:color w:val="000000"/>
          <w:sz w:val="20"/>
          <w:szCs w:val="20"/>
        </w:rPr>
        <w:t>The Oxford Encyclopedia of Food and Drink in America</w:t>
      </w:r>
      <w:r w:rsidRPr="0018515C">
        <w:rPr>
          <w:rFonts w:ascii="Courier New" w:hAnsi="Courier New" w:cs="Courier New"/>
          <w:color w:val="000000"/>
          <w:sz w:val="20"/>
          <w:szCs w:val="20"/>
        </w:rPr>
        <w:t>. Ed. Andrew F. Smith. Vol. 1. 2004. Print.</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Times New Roman" w:eastAsia="Times New Roman" w:hAnsi="Times New Roman" w:cs="Times New Roman"/>
          <w:b/>
          <w:bCs/>
          <w:color w:val="222222"/>
          <w:sz w:val="20"/>
          <w:szCs w:val="20"/>
        </w:rPr>
        <w:t>Personal Web site:</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Times New Roman" w:eastAsia="Times New Roman" w:hAnsi="Times New Roman" w:cs="Times New Roman"/>
          <w:color w:val="222222"/>
          <w:sz w:val="20"/>
          <w:szCs w:val="20"/>
        </w:rPr>
        <w:t>If a work is untitled, you may use a genre label such as Home page, Introduction, etc.</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Courier New" w:eastAsia="Times New Roman" w:hAnsi="Courier New" w:cs="Courier New"/>
          <w:color w:val="222222"/>
          <w:sz w:val="20"/>
          <w:szCs w:val="20"/>
        </w:rPr>
        <w:t>Rule, Greg. Home page. Web. 16 Nov. 2008.</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bookmarkStart w:id="1" w:name="online_encyclopedia"/>
      <w:bookmarkEnd w:id="1"/>
      <w:r w:rsidRPr="0018515C">
        <w:rPr>
          <w:rFonts w:ascii="Times New Roman" w:eastAsia="Times New Roman" w:hAnsi="Times New Roman" w:cs="Times New Roman"/>
          <w:b/>
          <w:bCs/>
          <w:color w:val="222222"/>
          <w:sz w:val="20"/>
          <w:szCs w:val="20"/>
        </w:rPr>
        <w:t>Entry in an online encyclopedia:</w:t>
      </w:r>
    </w:p>
    <w:p w:rsidR="0018515C" w:rsidRDefault="0018515C" w:rsidP="0018515C">
      <w:pPr>
        <w:shd w:val="clear" w:color="auto" w:fill="FFFFFF"/>
        <w:spacing w:after="225" w:line="336" w:lineRule="atLeast"/>
        <w:rPr>
          <w:rFonts w:ascii="Courier New" w:eastAsia="Times New Roman" w:hAnsi="Courier New" w:cs="Courier New"/>
          <w:color w:val="222222"/>
          <w:sz w:val="20"/>
          <w:szCs w:val="20"/>
        </w:rPr>
      </w:pPr>
      <w:r w:rsidRPr="0018515C">
        <w:rPr>
          <w:rFonts w:ascii="Courier New" w:eastAsia="Times New Roman" w:hAnsi="Courier New" w:cs="Courier New"/>
          <w:color w:val="222222"/>
          <w:sz w:val="20"/>
          <w:szCs w:val="20"/>
        </w:rPr>
        <w:t>"Einstein, Albert." </w:t>
      </w:r>
      <w:r w:rsidRPr="0018515C">
        <w:rPr>
          <w:rFonts w:ascii="Courier New" w:eastAsia="Times New Roman" w:hAnsi="Courier New" w:cs="Courier New"/>
          <w:i/>
          <w:iCs/>
          <w:color w:val="222222"/>
          <w:sz w:val="20"/>
          <w:szCs w:val="20"/>
        </w:rPr>
        <w:t>Encyclopaedia Britannica Online</w:t>
      </w:r>
      <w:r w:rsidRPr="0018515C">
        <w:rPr>
          <w:rFonts w:ascii="Courier New" w:eastAsia="Times New Roman" w:hAnsi="Courier New" w:cs="Courier New"/>
          <w:color w:val="222222"/>
          <w:sz w:val="20"/>
          <w:szCs w:val="20"/>
        </w:rPr>
        <w:t>. Encyclopedia Britannica, 1999. Web. 27 Apr. 2009.</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p>
    <w:p w:rsidR="0018515C" w:rsidRPr="0018515C" w:rsidRDefault="0018515C" w:rsidP="0018515C">
      <w:pPr>
        <w:shd w:val="clear" w:color="auto" w:fill="FFFFFF"/>
        <w:spacing w:after="225" w:line="336" w:lineRule="atLeast"/>
        <w:rPr>
          <w:rFonts w:ascii="Verdana" w:eastAsia="Times New Roman" w:hAnsi="Verdana" w:cs="Times New Roman"/>
          <w:color w:val="222222"/>
          <w:sz w:val="31"/>
          <w:szCs w:val="31"/>
        </w:rPr>
      </w:pPr>
      <w:r w:rsidRPr="0018515C">
        <w:rPr>
          <w:rFonts w:ascii="Times New Roman" w:eastAsia="Times New Roman" w:hAnsi="Times New Roman" w:cs="Times New Roman"/>
          <w:b/>
          <w:bCs/>
          <w:color w:val="222222"/>
          <w:sz w:val="31"/>
          <w:szCs w:val="31"/>
        </w:rPr>
        <w:lastRenderedPageBreak/>
        <w:t>Citing sources in the text</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Times New Roman" w:eastAsia="Times New Roman" w:hAnsi="Times New Roman" w:cs="Times New Roman"/>
          <w:color w:val="222222"/>
          <w:sz w:val="20"/>
          <w:szCs w:val="20"/>
        </w:rPr>
        <w:t>In MLA style, writers place references to sources in the paper to briefly identify them and enable readers to find them in the Works Cited list. These parenthetical references should be kept as brief and as clear as possible.</w:t>
      </w:r>
    </w:p>
    <w:p w:rsidR="0018515C" w:rsidRPr="0018515C" w:rsidRDefault="0018515C" w:rsidP="0018515C">
      <w:pPr>
        <w:numPr>
          <w:ilvl w:val="0"/>
          <w:numId w:val="1"/>
        </w:numPr>
        <w:shd w:val="clear" w:color="auto" w:fill="FFFFFF"/>
        <w:spacing w:line="240" w:lineRule="auto"/>
        <w:ind w:left="0"/>
        <w:rPr>
          <w:rFonts w:ascii="Verdana" w:eastAsia="Times New Roman" w:hAnsi="Verdana" w:cs="Times New Roman"/>
          <w:color w:val="222222"/>
          <w:sz w:val="20"/>
          <w:szCs w:val="20"/>
        </w:rPr>
      </w:pPr>
      <w:r w:rsidRPr="0018515C">
        <w:rPr>
          <w:rFonts w:ascii="Times New Roman" w:eastAsia="Times New Roman" w:hAnsi="Times New Roman" w:cs="Times New Roman"/>
          <w:color w:val="222222"/>
          <w:sz w:val="20"/>
          <w:szCs w:val="20"/>
        </w:rPr>
        <w:t>Give only the information needed to identify a source. Usually the author's last name and a page reference suffice.</w:t>
      </w:r>
    </w:p>
    <w:p w:rsidR="0018515C" w:rsidRPr="0018515C" w:rsidRDefault="0018515C" w:rsidP="0018515C">
      <w:pPr>
        <w:numPr>
          <w:ilvl w:val="0"/>
          <w:numId w:val="1"/>
        </w:numPr>
        <w:shd w:val="clear" w:color="auto" w:fill="FFFFFF"/>
        <w:spacing w:line="240" w:lineRule="auto"/>
        <w:ind w:left="0"/>
        <w:rPr>
          <w:rFonts w:ascii="Verdana" w:eastAsia="Times New Roman" w:hAnsi="Verdana" w:cs="Times New Roman"/>
          <w:color w:val="222222"/>
          <w:sz w:val="20"/>
          <w:szCs w:val="20"/>
        </w:rPr>
      </w:pPr>
      <w:r w:rsidRPr="0018515C">
        <w:rPr>
          <w:rFonts w:ascii="Times New Roman" w:eastAsia="Times New Roman" w:hAnsi="Times New Roman" w:cs="Times New Roman"/>
          <w:color w:val="222222"/>
          <w:sz w:val="20"/>
          <w:szCs w:val="20"/>
        </w:rPr>
        <w:t>Place the parenthetical reference as close as possible its source. Insert the parenthetical reference where a pause would naturally occur, preferably at the end of a sentence.</w:t>
      </w:r>
    </w:p>
    <w:p w:rsidR="0018515C" w:rsidRPr="0018515C" w:rsidRDefault="0018515C" w:rsidP="0018515C">
      <w:pPr>
        <w:numPr>
          <w:ilvl w:val="0"/>
          <w:numId w:val="1"/>
        </w:numPr>
        <w:shd w:val="clear" w:color="auto" w:fill="FFFFFF"/>
        <w:spacing w:line="240" w:lineRule="auto"/>
        <w:ind w:left="0"/>
        <w:rPr>
          <w:rFonts w:ascii="Verdana" w:eastAsia="Times New Roman" w:hAnsi="Verdana" w:cs="Times New Roman"/>
          <w:color w:val="222222"/>
          <w:sz w:val="20"/>
          <w:szCs w:val="20"/>
        </w:rPr>
      </w:pPr>
      <w:r w:rsidRPr="0018515C">
        <w:rPr>
          <w:rFonts w:ascii="Times New Roman" w:eastAsia="Times New Roman" w:hAnsi="Times New Roman" w:cs="Times New Roman"/>
          <w:color w:val="222222"/>
          <w:sz w:val="20"/>
          <w:szCs w:val="20"/>
        </w:rPr>
        <w:t>Information in the parenthesis should complement, not repeat, information given in the text. If you include an author's name in a sentence, you do not need to repeat it in your parenthetical statement.</w:t>
      </w:r>
    </w:p>
    <w:p w:rsidR="0018515C" w:rsidRPr="0018515C" w:rsidRDefault="0018515C" w:rsidP="0018515C">
      <w:pPr>
        <w:numPr>
          <w:ilvl w:val="0"/>
          <w:numId w:val="1"/>
        </w:numPr>
        <w:shd w:val="clear" w:color="auto" w:fill="FFFFFF"/>
        <w:spacing w:line="240" w:lineRule="auto"/>
        <w:ind w:left="0"/>
        <w:rPr>
          <w:rFonts w:ascii="Verdana" w:eastAsia="Times New Roman" w:hAnsi="Verdana" w:cs="Times New Roman"/>
          <w:color w:val="222222"/>
          <w:sz w:val="20"/>
          <w:szCs w:val="20"/>
        </w:rPr>
      </w:pPr>
      <w:r w:rsidRPr="0018515C">
        <w:rPr>
          <w:rFonts w:ascii="Times New Roman" w:eastAsia="Times New Roman" w:hAnsi="Times New Roman" w:cs="Times New Roman"/>
          <w:color w:val="222222"/>
          <w:sz w:val="20"/>
          <w:szCs w:val="20"/>
        </w:rPr>
        <w:t>The parenthetical reference should precede the punctuation mark that concludes the sentence, clause, or phrase that contains the cited material.</w:t>
      </w:r>
    </w:p>
    <w:p w:rsidR="0018515C" w:rsidRPr="0018515C" w:rsidRDefault="0018515C" w:rsidP="0018515C">
      <w:pPr>
        <w:numPr>
          <w:ilvl w:val="0"/>
          <w:numId w:val="1"/>
        </w:numPr>
        <w:shd w:val="clear" w:color="auto" w:fill="FFFFFF"/>
        <w:spacing w:line="240" w:lineRule="auto"/>
        <w:ind w:left="0"/>
        <w:rPr>
          <w:rFonts w:ascii="Verdana" w:eastAsia="Times New Roman" w:hAnsi="Verdana" w:cs="Times New Roman"/>
          <w:color w:val="222222"/>
          <w:sz w:val="20"/>
          <w:szCs w:val="20"/>
        </w:rPr>
      </w:pPr>
      <w:r w:rsidRPr="0018515C">
        <w:rPr>
          <w:rFonts w:ascii="Times New Roman" w:eastAsia="Times New Roman" w:hAnsi="Times New Roman" w:cs="Times New Roman"/>
          <w:color w:val="222222"/>
          <w:sz w:val="20"/>
          <w:szCs w:val="20"/>
        </w:rPr>
        <w:t>Electronic and online sources are cited just like print resources in parenthetical references. If an online source lacks page numbers, omit numbers from the parenthetical references. If an online source includes fixed page numbers or section numbering, such as numbering of paragraphs, cite the relevant numbers.</w:t>
      </w:r>
    </w:p>
    <w:p w:rsidR="0018515C" w:rsidRPr="0018515C" w:rsidRDefault="0018515C" w:rsidP="0018515C">
      <w:pPr>
        <w:shd w:val="clear" w:color="auto" w:fill="FFFFFF"/>
        <w:spacing w:after="225" w:line="336" w:lineRule="atLeast"/>
        <w:rPr>
          <w:rFonts w:ascii="Verdana" w:eastAsia="Times New Roman" w:hAnsi="Verdana" w:cs="Times New Roman"/>
          <w:color w:val="222222"/>
          <w:sz w:val="20"/>
          <w:szCs w:val="20"/>
        </w:rPr>
      </w:pPr>
      <w:r w:rsidRPr="0018515C">
        <w:rPr>
          <w:rFonts w:ascii="Times New Roman" w:eastAsia="Times New Roman" w:hAnsi="Times New Roman" w:cs="Times New Roman"/>
          <w:b/>
          <w:bCs/>
          <w:color w:val="222222"/>
          <w:sz w:val="20"/>
          <w:szCs w:val="20"/>
        </w:rPr>
        <w:t>Examples:</w:t>
      </w:r>
    </w:p>
    <w:tbl>
      <w:tblPr>
        <w:tblW w:w="4700" w:type="pct"/>
        <w:jc w:val="center"/>
        <w:tblCellMar>
          <w:left w:w="0" w:type="dxa"/>
          <w:right w:w="0" w:type="dxa"/>
        </w:tblCellMar>
        <w:tblLook w:val="04A0" w:firstRow="1" w:lastRow="0" w:firstColumn="1" w:lastColumn="0" w:noHBand="0" w:noVBand="1"/>
      </w:tblPr>
      <w:tblGrid>
        <w:gridCol w:w="6345"/>
        <w:gridCol w:w="4230"/>
      </w:tblGrid>
      <w:tr w:rsidR="0018515C" w:rsidRPr="0018515C" w:rsidTr="0018515C">
        <w:trPr>
          <w:jc w:val="center"/>
        </w:trPr>
        <w:tc>
          <w:tcPr>
            <w:tcW w:w="3000" w:type="pct"/>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Author's name in text</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Dover has expressed this concern (118-21).</w:t>
            </w:r>
          </w:p>
        </w:tc>
      </w:tr>
      <w:tr w:rsidR="0018515C" w:rsidRPr="0018515C" w:rsidTr="0018515C">
        <w:trPr>
          <w:jc w:val="center"/>
        </w:trPr>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Author's name in reference</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This concern has been expressed (Dover 118-21).</w:t>
            </w:r>
          </w:p>
        </w:tc>
      </w:tr>
      <w:tr w:rsidR="0018515C" w:rsidRPr="0018515C" w:rsidTr="0018515C">
        <w:trPr>
          <w:jc w:val="center"/>
        </w:trPr>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Multiple authors of a work</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This hypothesis (Bradley and Rogers 7) suggested this theory (Sumner, Reichl, and Waugh 23).</w:t>
            </w:r>
          </w:p>
        </w:tc>
      </w:tr>
      <w:tr w:rsidR="0018515C" w:rsidRPr="0018515C" w:rsidTr="0018515C">
        <w:trPr>
          <w:jc w:val="center"/>
        </w:trPr>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Two locations</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Williams alludes to this premise (136-39, 145).</w:t>
            </w:r>
          </w:p>
        </w:tc>
      </w:tr>
      <w:tr w:rsidR="0018515C" w:rsidRPr="0018515C" w:rsidTr="0018515C">
        <w:trPr>
          <w:jc w:val="center"/>
        </w:trPr>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Two works cited</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(Burns 54; Thomas 327)</w:t>
            </w:r>
          </w:p>
        </w:tc>
      </w:tr>
      <w:tr w:rsidR="0018515C" w:rsidRPr="0018515C" w:rsidTr="0018515C">
        <w:trPr>
          <w:jc w:val="center"/>
        </w:trPr>
        <w:tc>
          <w:tcPr>
            <w:tcW w:w="0" w:type="auto"/>
            <w:gridSpan w:val="2"/>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Multivolume works</w:t>
            </w:r>
          </w:p>
        </w:tc>
      </w:tr>
      <w:tr w:rsidR="0018515C" w:rsidRPr="0018515C" w:rsidTr="0018515C">
        <w:trPr>
          <w:jc w:val="center"/>
        </w:trPr>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References to volumes and pages</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(Wilson 2:1-18)</w:t>
            </w:r>
          </w:p>
        </w:tc>
      </w:tr>
      <w:tr w:rsidR="0018515C" w:rsidRPr="0018515C" w:rsidTr="0018515C">
        <w:trPr>
          <w:jc w:val="center"/>
        </w:trPr>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References to an entire volume</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(Henderson, vol. 3)</w:t>
            </w:r>
          </w:p>
        </w:tc>
      </w:tr>
      <w:tr w:rsidR="0018515C" w:rsidRPr="0018515C" w:rsidTr="0018515C">
        <w:trPr>
          <w:jc w:val="center"/>
        </w:trPr>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In text reference to an entire volume</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In volume 3, Henderson suggests</w:t>
            </w:r>
          </w:p>
        </w:tc>
      </w:tr>
      <w:tr w:rsidR="0018515C" w:rsidRPr="0018515C" w:rsidTr="0018515C">
        <w:trPr>
          <w:jc w:val="center"/>
        </w:trPr>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Corporate authors</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(United Nations, Economic Commission for Africa 51-63)</w:t>
            </w:r>
          </w:p>
        </w:tc>
      </w:tr>
      <w:tr w:rsidR="0018515C" w:rsidRPr="0018515C" w:rsidTr="0018515C">
        <w:trPr>
          <w:jc w:val="center"/>
        </w:trPr>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lastRenderedPageBreak/>
              <w:t>Works with no author</w:t>
            </w:r>
            <w:r w:rsidRPr="0018515C">
              <w:rPr>
                <w:rFonts w:ascii="Times New Roman" w:eastAsia="Times New Roman" w:hAnsi="Times New Roman" w:cs="Times New Roman"/>
                <w:sz w:val="20"/>
                <w:szCs w:val="20"/>
              </w:rPr>
              <w:br/>
              <w:t>When a work has no author, use the work's title or a shortened version of the title when citing it in text. (If abbreviating a title, omit initial articles and begin with the word by which it is alphabetized in the Works Cited list.):</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as stated by the presidential commission (</w:t>
            </w:r>
            <w:r w:rsidRPr="0018515C">
              <w:rPr>
                <w:rFonts w:ascii="Courier New" w:eastAsia="Times New Roman" w:hAnsi="Courier New" w:cs="Courier New"/>
                <w:i/>
                <w:iCs/>
                <w:sz w:val="20"/>
                <w:szCs w:val="20"/>
              </w:rPr>
              <w:t>Report</w:t>
            </w:r>
            <w:r w:rsidRPr="0018515C">
              <w:rPr>
                <w:rFonts w:ascii="Courier New" w:eastAsia="Times New Roman" w:hAnsi="Courier New" w:cs="Courier New"/>
                <w:sz w:val="20"/>
                <w:szCs w:val="20"/>
              </w:rPr>
              <w:t> 4).</w:t>
            </w:r>
          </w:p>
        </w:tc>
      </w:tr>
      <w:tr w:rsidR="0018515C" w:rsidRPr="0018515C" w:rsidTr="0018515C">
        <w:trPr>
          <w:jc w:val="center"/>
        </w:trPr>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Times New Roman" w:eastAsia="Times New Roman" w:hAnsi="Times New Roman" w:cs="Times New Roman"/>
                <w:b/>
                <w:bCs/>
                <w:sz w:val="20"/>
                <w:szCs w:val="20"/>
              </w:rPr>
              <w:t>Online source with numbered paragraphs</w:t>
            </w:r>
          </w:p>
        </w:tc>
        <w:tc>
          <w:tcPr>
            <w:tcW w:w="0" w:type="auto"/>
            <w:tcBorders>
              <w:top w:val="single" w:sz="6" w:space="0" w:color="E7E7E7"/>
              <w:left w:val="single" w:sz="6" w:space="0" w:color="E7E7E7"/>
              <w:bottom w:val="single" w:sz="6" w:space="0" w:color="E7E7E7"/>
              <w:right w:val="single" w:sz="6" w:space="0" w:color="E7E7E7"/>
            </w:tcBorders>
            <w:tcMar>
              <w:top w:w="150" w:type="dxa"/>
              <w:left w:w="225" w:type="dxa"/>
              <w:bottom w:w="150" w:type="dxa"/>
              <w:right w:w="225" w:type="dxa"/>
            </w:tcMar>
            <w:hideMark/>
          </w:tcPr>
          <w:p w:rsidR="0018515C" w:rsidRPr="0018515C" w:rsidRDefault="0018515C" w:rsidP="0018515C">
            <w:pPr>
              <w:spacing w:after="0" w:line="360" w:lineRule="atLeast"/>
              <w:rPr>
                <w:rFonts w:ascii="Times New Roman" w:eastAsia="Times New Roman" w:hAnsi="Times New Roman" w:cs="Times New Roman"/>
                <w:sz w:val="20"/>
                <w:szCs w:val="20"/>
              </w:rPr>
            </w:pPr>
            <w:r w:rsidRPr="0018515C">
              <w:rPr>
                <w:rFonts w:ascii="Courier New" w:eastAsia="Times New Roman" w:hAnsi="Courier New" w:cs="Courier New"/>
                <w:sz w:val="20"/>
                <w:szCs w:val="20"/>
              </w:rPr>
              <w:t>(Fox, pars. 4-5)</w:t>
            </w:r>
          </w:p>
        </w:tc>
      </w:tr>
    </w:tbl>
    <w:p w:rsidR="0018515C" w:rsidRDefault="0018515C" w:rsidP="0018515C">
      <w:pPr>
        <w:shd w:val="clear" w:color="auto" w:fill="FFFFFF"/>
        <w:spacing w:after="225" w:line="336" w:lineRule="atLeast"/>
        <w:ind w:left="720" w:hanging="720"/>
        <w:rPr>
          <w:rFonts w:ascii="Courier New" w:eastAsia="Times New Roman" w:hAnsi="Courier New" w:cs="Courier New"/>
          <w:color w:val="222222"/>
          <w:sz w:val="20"/>
          <w:szCs w:val="20"/>
        </w:rPr>
      </w:pPr>
      <w:r>
        <w:rPr>
          <w:color w:val="222222"/>
          <w:sz w:val="20"/>
          <w:szCs w:val="20"/>
          <w:shd w:val="clear" w:color="auto" w:fill="FFFFFF"/>
        </w:rPr>
        <w:t>Note: A parenthetical reference to a familiar historical document -- i.e., the United States Constitution -- no longer requires a corresponding entry in the Works Cited list.</w:t>
      </w:r>
    </w:p>
    <w:p w:rsidR="0018515C" w:rsidRPr="0018515C" w:rsidRDefault="0018515C" w:rsidP="0018515C">
      <w:pPr>
        <w:shd w:val="clear" w:color="auto" w:fill="FFFFFF"/>
        <w:spacing w:after="225" w:line="336" w:lineRule="atLeast"/>
        <w:ind w:left="720" w:hanging="720"/>
        <w:rPr>
          <w:rFonts w:ascii="Verdana" w:eastAsia="Times New Roman" w:hAnsi="Verdana" w:cs="Times New Roman"/>
          <w:color w:val="222222"/>
          <w:sz w:val="31"/>
          <w:szCs w:val="31"/>
        </w:rPr>
      </w:pPr>
    </w:p>
    <w:p w:rsidR="00DC547C" w:rsidRDefault="00DC547C"/>
    <w:sectPr w:rsidR="00DC547C" w:rsidSect="00185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2910"/>
    <w:multiLevelType w:val="multilevel"/>
    <w:tmpl w:val="4306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5C"/>
    <w:rsid w:val="0018515C"/>
    <w:rsid w:val="0033770F"/>
    <w:rsid w:val="00DC547C"/>
    <w:rsid w:val="00FA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515C"/>
  </w:style>
  <w:style w:type="paragraph" w:customStyle="1" w:styleId="cm2">
    <w:name w:val="cm2"/>
    <w:basedOn w:val="Normal"/>
    <w:rsid w:val="00185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26">
    <w:name w:val="cm26"/>
    <w:basedOn w:val="Normal"/>
    <w:rsid w:val="001851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515C"/>
  </w:style>
  <w:style w:type="paragraph" w:customStyle="1" w:styleId="cm2">
    <w:name w:val="cm2"/>
    <w:basedOn w:val="Normal"/>
    <w:rsid w:val="00185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26">
    <w:name w:val="cm26"/>
    <w:basedOn w:val="Normal"/>
    <w:rsid w:val="00185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1748">
      <w:bodyDiv w:val="1"/>
      <w:marLeft w:val="0"/>
      <w:marRight w:val="0"/>
      <w:marTop w:val="0"/>
      <w:marBottom w:val="0"/>
      <w:divBdr>
        <w:top w:val="none" w:sz="0" w:space="0" w:color="auto"/>
        <w:left w:val="none" w:sz="0" w:space="0" w:color="auto"/>
        <w:bottom w:val="none" w:sz="0" w:space="0" w:color="auto"/>
        <w:right w:val="none" w:sz="0" w:space="0" w:color="auto"/>
      </w:divBdr>
    </w:div>
    <w:div w:id="834146200">
      <w:bodyDiv w:val="1"/>
      <w:marLeft w:val="0"/>
      <w:marRight w:val="0"/>
      <w:marTop w:val="0"/>
      <w:marBottom w:val="0"/>
      <w:divBdr>
        <w:top w:val="none" w:sz="0" w:space="0" w:color="auto"/>
        <w:left w:val="none" w:sz="0" w:space="0" w:color="auto"/>
        <w:bottom w:val="none" w:sz="0" w:space="0" w:color="auto"/>
        <w:right w:val="none" w:sz="0" w:space="0" w:color="auto"/>
      </w:divBdr>
    </w:div>
    <w:div w:id="845288305">
      <w:bodyDiv w:val="1"/>
      <w:marLeft w:val="0"/>
      <w:marRight w:val="0"/>
      <w:marTop w:val="0"/>
      <w:marBottom w:val="0"/>
      <w:divBdr>
        <w:top w:val="none" w:sz="0" w:space="0" w:color="auto"/>
        <w:left w:val="none" w:sz="0" w:space="0" w:color="auto"/>
        <w:bottom w:val="none" w:sz="0" w:space="0" w:color="auto"/>
        <w:right w:val="none" w:sz="0" w:space="0" w:color="auto"/>
      </w:divBdr>
    </w:div>
    <w:div w:id="910232361">
      <w:bodyDiv w:val="1"/>
      <w:marLeft w:val="0"/>
      <w:marRight w:val="0"/>
      <w:marTop w:val="0"/>
      <w:marBottom w:val="0"/>
      <w:divBdr>
        <w:top w:val="none" w:sz="0" w:space="0" w:color="auto"/>
        <w:left w:val="none" w:sz="0" w:space="0" w:color="auto"/>
        <w:bottom w:val="none" w:sz="0" w:space="0" w:color="auto"/>
        <w:right w:val="none" w:sz="0" w:space="0" w:color="auto"/>
      </w:divBdr>
    </w:div>
    <w:div w:id="1099712658">
      <w:bodyDiv w:val="1"/>
      <w:marLeft w:val="0"/>
      <w:marRight w:val="0"/>
      <w:marTop w:val="0"/>
      <w:marBottom w:val="0"/>
      <w:divBdr>
        <w:top w:val="none" w:sz="0" w:space="0" w:color="auto"/>
        <w:left w:val="none" w:sz="0" w:space="0" w:color="auto"/>
        <w:bottom w:val="none" w:sz="0" w:space="0" w:color="auto"/>
        <w:right w:val="none" w:sz="0" w:space="0" w:color="auto"/>
      </w:divBdr>
    </w:div>
    <w:div w:id="1115556647">
      <w:bodyDiv w:val="1"/>
      <w:marLeft w:val="0"/>
      <w:marRight w:val="0"/>
      <w:marTop w:val="0"/>
      <w:marBottom w:val="0"/>
      <w:divBdr>
        <w:top w:val="none" w:sz="0" w:space="0" w:color="auto"/>
        <w:left w:val="none" w:sz="0" w:space="0" w:color="auto"/>
        <w:bottom w:val="none" w:sz="0" w:space="0" w:color="auto"/>
        <w:right w:val="none" w:sz="0" w:space="0" w:color="auto"/>
      </w:divBdr>
    </w:div>
    <w:div w:id="1172602552">
      <w:bodyDiv w:val="1"/>
      <w:marLeft w:val="0"/>
      <w:marRight w:val="0"/>
      <w:marTop w:val="0"/>
      <w:marBottom w:val="0"/>
      <w:divBdr>
        <w:top w:val="none" w:sz="0" w:space="0" w:color="auto"/>
        <w:left w:val="none" w:sz="0" w:space="0" w:color="auto"/>
        <w:bottom w:val="none" w:sz="0" w:space="0" w:color="auto"/>
        <w:right w:val="none" w:sz="0" w:space="0" w:color="auto"/>
      </w:divBdr>
    </w:div>
    <w:div w:id="19939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2015-09-14T14:36:00Z</dcterms:created>
  <dcterms:modified xsi:type="dcterms:W3CDTF">2015-09-14T14:36:00Z</dcterms:modified>
</cp:coreProperties>
</file>